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225"/>
        <w:ind w:leftChars="0" w:left="0" w:firstLineChars="0" w:firstLine="0"/>
        <w:rPr>
          <w:rFonts w:ascii="Tahoma" w:eastAsia="Tahoma" w:hAnsi="Tahoma" w:cs="Tahoma"/>
          <w:color w:val="FF561B"/>
          <w:sz w:val="33"/>
          <w:szCs w:val="33"/>
        </w:rPr>
      </w:pPr>
      <w:proofErr w:type="spellStart"/>
      <w:r>
        <w:rPr>
          <w:rFonts w:ascii="Tahoma" w:eastAsia="Tahoma" w:hAnsi="Tahoma" w:cs="Tahoma"/>
          <w:color w:val="FF561B"/>
          <w:sz w:val="33"/>
          <w:szCs w:val="33"/>
        </w:rPr>
        <w:t>Благодійна</w:t>
      </w:r>
      <w:proofErr w:type="spellEnd"/>
      <w:r>
        <w:rPr>
          <w:rFonts w:ascii="Tahoma" w:eastAsia="Tahoma" w:hAnsi="Tahoma" w:cs="Tahoma"/>
          <w:color w:val="FF561B"/>
          <w:sz w:val="33"/>
          <w:szCs w:val="33"/>
        </w:rPr>
        <w:t xml:space="preserve"> </w:t>
      </w:r>
      <w:proofErr w:type="spellStart"/>
      <w:r>
        <w:rPr>
          <w:rFonts w:ascii="Tahoma" w:eastAsia="Tahoma" w:hAnsi="Tahoma" w:cs="Tahoma"/>
          <w:color w:val="FF561B"/>
          <w:sz w:val="33"/>
          <w:szCs w:val="33"/>
        </w:rPr>
        <w:t>допомога</w:t>
      </w:r>
      <w:proofErr w:type="spellEnd"/>
    </w:p>
    <w:p w14:paraId="00000002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ahoma" w:eastAsia="Tahoma" w:hAnsi="Tahoma" w:cs="Tahoma"/>
          <w:color w:val="595858"/>
          <w:sz w:val="18"/>
          <w:szCs w:val="18"/>
        </w:rPr>
      </w:pPr>
      <w:r>
        <w:rPr>
          <w:rFonts w:ascii="Tahoma" w:eastAsia="Tahoma" w:hAnsi="Tahoma" w:cs="Tahoma"/>
          <w:color w:val="595858"/>
          <w:sz w:val="18"/>
          <w:szCs w:val="18"/>
        </w:rPr>
        <w:t> </w:t>
      </w:r>
    </w:p>
    <w:p w14:paraId="00000003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ahoma" w:eastAsia="Tahoma" w:hAnsi="Tahoma" w:cs="Tahoma"/>
          <w:color w:val="595858"/>
          <w:sz w:val="18"/>
          <w:szCs w:val="18"/>
        </w:rPr>
      </w:pPr>
      <w:r>
        <w:rPr>
          <w:rFonts w:ascii="Tahoma" w:eastAsia="Tahoma" w:hAnsi="Tahoma" w:cs="Tahoma"/>
          <w:b/>
          <w:color w:val="595858"/>
          <w:sz w:val="18"/>
          <w:szCs w:val="18"/>
        </w:rPr>
        <w:t> </w:t>
      </w:r>
    </w:p>
    <w:p w14:paraId="00000004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ШАНОВНІ БАТЬКИ!!!</w:t>
      </w:r>
    </w:p>
    <w:p w14:paraId="00000005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Дякуємо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покращенні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матеріально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техн</w:t>
      </w:r>
      <w:proofErr w:type="gram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ічної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бази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закладу.</w:t>
      </w:r>
    </w:p>
    <w:p w14:paraId="00000006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8BB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BBC0A"/>
          <w:sz w:val="28"/>
          <w:szCs w:val="28"/>
        </w:rPr>
        <w:t> </w:t>
      </w:r>
    </w:p>
    <w:p w14:paraId="00000007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ahoma" w:eastAsia="Tahoma" w:hAnsi="Tahoma" w:cs="Tahoma"/>
          <w:color w:val="8BBC0A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Ви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бажаєте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допомогти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дитячому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садочку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  <w:r>
        <w:rPr>
          <w:rFonts w:ascii="Tahoma" w:eastAsia="Tahoma" w:hAnsi="Tahoma" w:cs="Tahoma"/>
          <w:b/>
          <w:color w:val="8BBC0A"/>
          <w:sz w:val="18"/>
          <w:szCs w:val="18"/>
        </w:rPr>
        <w:br/>
        <w:t> </w:t>
      </w:r>
    </w:p>
    <w:p w14:paraId="00000008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Розрахункові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рахунки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14:paraId="00000009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Квитанція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оплати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благодійних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внесків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14:paraId="0000000A" w14:textId="77777777" w:rsidR="00B46B30" w:rsidRDefault="00B46B30" w:rsidP="00DB565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00B" w14:textId="77777777" w:rsidR="00B46B30" w:rsidRDefault="00B46B30" w:rsidP="00DB565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00C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Роз’яснення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благодійності</w:t>
      </w:r>
      <w:proofErr w:type="spellEnd"/>
    </w:p>
    <w:p w14:paraId="0000000D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діяльності</w:t>
      </w:r>
      <w:proofErr w:type="spellEnd"/>
    </w:p>
    <w:p w14:paraId="0000000E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0F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відступлення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прав;</w:t>
      </w:r>
    </w:p>
    <w:p w14:paraId="00000010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права;</w:t>
      </w:r>
    </w:p>
    <w:p w14:paraId="00000011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прав;</w:t>
      </w:r>
    </w:p>
    <w:p w14:paraId="00000012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3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4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5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ендавментами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6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заповітів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відказів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спадкових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7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аукціонів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негрошових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лотерей,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законом.</w:t>
      </w:r>
    </w:p>
    <w:p w14:paraId="00000018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Стаття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5. Закону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  <w:t xml:space="preserve">«Про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благодійну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благодійні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14:paraId="00000019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ендавмент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Ендавмент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цінних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паперів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банк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небанківську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завдяки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набувач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дивідендів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нарахованих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суму такого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ендавменту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набувач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ефіціар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витрачати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відчужувати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суму такого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ендавменту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A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Платіжна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виникають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не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агентом,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реквізитів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виключно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найкращою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шифрований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 SSL.</w:t>
      </w:r>
    </w:p>
    <w:p w14:paraId="0000001B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1C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1D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EF762B9" w14:textId="554C7081" w:rsidR="00DB565F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ШАНОВНІ БАТЬКИ!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               Для 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наших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малят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за 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кошт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</w:t>
      </w:r>
      <w:proofErr w:type="spellEnd"/>
    </w:p>
    <w:p w14:paraId="0000001E" w14:textId="3076B35C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(протягом 2023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року)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закладі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дошкільної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освіти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створено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належні санітарно-гігієнічні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B5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умови.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віти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переглянути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сторінці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Благодійна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“ГОРОБИНА” </w:t>
      </w:r>
    </w:p>
    <w:p w14:paraId="0000001F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Tahoma" w:eastAsia="Tahoma" w:hAnsi="Tahoma" w:cs="Tahoma"/>
          <w:color w:val="595858"/>
          <w:sz w:val="18"/>
          <w:szCs w:val="18"/>
        </w:rPr>
      </w:pPr>
      <w:r>
        <w:rPr>
          <w:rFonts w:ascii="Tahoma" w:eastAsia="Tahoma" w:hAnsi="Tahoma" w:cs="Tahoma"/>
          <w:color w:val="595858"/>
          <w:sz w:val="18"/>
          <w:szCs w:val="18"/>
        </w:rPr>
        <w:br/>
        <w:t> </w:t>
      </w:r>
    </w:p>
    <w:p w14:paraId="00000020" w14:textId="77777777" w:rsidR="00B46B30" w:rsidRDefault="00B46B30" w:rsidP="00B46B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B46B3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46B30"/>
    <w:rsid w:val="00B46B30"/>
    <w:rsid w:val="00D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DzI1I+BT5mOmuoLQtHb2Dbzq3A==">AMUW2mW+ODBj9F6SBXgo3cDiZv5N352FmMQTAhZHXmwKexKTJEkgms7O44W7hBMGNGMDSGbddkQZ2Ozf/YpaBw0alfI1nyUTKxIvEwLJPnj0IT4w+uYegdY=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1617</Words>
  <Characters>922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9</dc:creator>
  <cp:lastModifiedBy>ДЕТСАД 9</cp:lastModifiedBy>
  <cp:revision>2</cp:revision>
  <dcterms:created xsi:type="dcterms:W3CDTF">2022-01-11T16:36:00Z</dcterms:created>
  <dcterms:modified xsi:type="dcterms:W3CDTF">2023-12-28T12:36:00Z</dcterms:modified>
</cp:coreProperties>
</file>