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225"/>
        <w:ind w:leftChars="0" w:left="0" w:firstLineChars="0" w:firstLine="0"/>
        <w:rPr>
          <w:rFonts w:ascii="Tahoma" w:eastAsia="Tahoma" w:hAnsi="Tahoma" w:cs="Tahoma"/>
          <w:color w:val="FF561B"/>
          <w:sz w:val="33"/>
          <w:szCs w:val="33"/>
        </w:rPr>
      </w:pP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Благодійна</w:t>
      </w:r>
      <w:proofErr w:type="spellEnd"/>
      <w:r>
        <w:rPr>
          <w:rFonts w:ascii="Tahoma" w:eastAsia="Tahoma" w:hAnsi="Tahoma" w:cs="Tahoma"/>
          <w:color w:val="FF561B"/>
          <w:sz w:val="33"/>
          <w:szCs w:val="33"/>
        </w:rPr>
        <w:t xml:space="preserve"> </w:t>
      </w:r>
      <w:proofErr w:type="spellStart"/>
      <w:r>
        <w:rPr>
          <w:rFonts w:ascii="Tahoma" w:eastAsia="Tahoma" w:hAnsi="Tahoma" w:cs="Tahoma"/>
          <w:color w:val="FF561B"/>
          <w:sz w:val="33"/>
          <w:szCs w:val="33"/>
        </w:rPr>
        <w:t>допомога</w:t>
      </w:r>
      <w:proofErr w:type="spellEnd"/>
    </w:p>
    <w:p w14:paraId="00000002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color w:val="595858"/>
          <w:sz w:val="18"/>
          <w:szCs w:val="18"/>
        </w:rPr>
        <w:t> </w:t>
      </w:r>
    </w:p>
    <w:p w14:paraId="00000003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b/>
          <w:color w:val="595858"/>
          <w:sz w:val="18"/>
          <w:szCs w:val="18"/>
        </w:rPr>
        <w:t> </w:t>
      </w:r>
    </w:p>
    <w:p w14:paraId="00000004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ШАНОВНІ БАТЬКИ!!!</w:t>
      </w:r>
    </w:p>
    <w:p w14:paraId="00000005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Дякуємо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допомогу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покращенні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матеріально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техн</w:t>
      </w:r>
      <w:proofErr w:type="gram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ічної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>бази</w:t>
      </w:r>
      <w:proofErr w:type="spellEnd"/>
      <w:r>
        <w:rPr>
          <w:rFonts w:ascii="Times New Roman" w:eastAsia="Times New Roman" w:hAnsi="Times New Roman" w:cs="Times New Roman"/>
          <w:b/>
          <w:color w:val="EA3E22"/>
          <w:sz w:val="28"/>
          <w:szCs w:val="28"/>
        </w:rPr>
        <w:t xml:space="preserve"> закладу.</w:t>
      </w:r>
    </w:p>
    <w:p w14:paraId="00000006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8BBC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8BBC0A"/>
          <w:sz w:val="28"/>
          <w:szCs w:val="28"/>
        </w:rPr>
        <w:t> </w:t>
      </w:r>
    </w:p>
    <w:p w14:paraId="00000007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jc w:val="center"/>
        <w:rPr>
          <w:rFonts w:ascii="Tahoma" w:eastAsia="Tahoma" w:hAnsi="Tahoma" w:cs="Tahoma"/>
          <w:color w:val="8BBC0A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Якщо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Ви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бажаєте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допомогти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дитячому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садочку</w:t>
      </w:r>
      <w:proofErr w:type="spellEnd"/>
      <w:r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:</w:t>
      </w:r>
      <w:r>
        <w:rPr>
          <w:rFonts w:ascii="Tahoma" w:eastAsia="Tahoma" w:hAnsi="Tahoma" w:cs="Tahoma"/>
          <w:b/>
          <w:color w:val="8BBC0A"/>
          <w:sz w:val="18"/>
          <w:szCs w:val="18"/>
        </w:rPr>
        <w:br/>
        <w:t> </w:t>
      </w:r>
    </w:p>
    <w:p w14:paraId="00000008" w14:textId="77777777" w:rsidR="00B46B30" w:rsidRPr="00DE1216" w:rsidRDefault="00DB565F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DE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Розрахункові</w:t>
      </w:r>
      <w:proofErr w:type="spellEnd"/>
      <w:r w:rsidRPr="00DE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E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рахунки</w:t>
      </w:r>
      <w:proofErr w:type="spellEnd"/>
      <w:r w:rsidRPr="00DE1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bookmarkStart w:id="0" w:name="_GoBack"/>
      <w:bookmarkEnd w:id="0"/>
    </w:p>
    <w:p w14:paraId="7C1B2285" w14:textId="5C36762D" w:rsidR="00D4538F" w:rsidRPr="00DE1216" w:rsidRDefault="00D4538F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Одержувач платежу:</w:t>
      </w:r>
    </w:p>
    <w:p w14:paraId="306091FD" w14:textId="4710C972" w:rsidR="00D4538F" w:rsidRPr="00DE1216" w:rsidRDefault="00D4538F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Найменування одержувача:                  БО ВМБО ГОРОБИНА</w:t>
      </w:r>
    </w:p>
    <w:p w14:paraId="6A0D0316" w14:textId="1305507A" w:rsidR="00D4538F" w:rsidRPr="00DE1216" w:rsidRDefault="00D4538F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Назва банку:                                            26498492</w:t>
      </w:r>
    </w:p>
    <w:p w14:paraId="4C3471FA" w14:textId="38F7AD3C" w:rsidR="00D4538F" w:rsidRPr="00DE1216" w:rsidRDefault="00D4538F" w:rsidP="00DB565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Назва банку:                                            АТ КБ «</w:t>
      </w:r>
      <w:proofErr w:type="spellStart"/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ПриватБанк</w:t>
      </w:r>
      <w:proofErr w:type="spellEnd"/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14:paraId="10BDBA61" w14:textId="7A63FEF1" w:rsidR="00D4538F" w:rsidRPr="00DE1216" w:rsidRDefault="00DE1216" w:rsidP="00DE1216">
      <w:pPr>
        <w:pBdr>
          <w:top w:val="nil"/>
          <w:left w:val="nil"/>
          <w:bottom w:val="nil"/>
          <w:right w:val="nil"/>
          <w:between w:val="nil"/>
        </w:pBdr>
        <w:ind w:leftChars="-323" w:left="-708" w:right="-284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4538F"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Рахунок одержувача у формі ІВА</w:t>
      </w:r>
      <w:r w:rsidR="00D4538F"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UA</w:t>
      </w: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</w:rPr>
        <w:t>683052990000026001031701165</w:t>
      </w:r>
    </w:p>
    <w:p w14:paraId="1EB19719" w14:textId="4B1B09F1" w:rsidR="00DE1216" w:rsidRPr="00DE1216" w:rsidRDefault="00DE1216" w:rsidP="00DE1216">
      <w:pPr>
        <w:pBdr>
          <w:top w:val="nil"/>
          <w:left w:val="nil"/>
          <w:bottom w:val="nil"/>
          <w:right w:val="nil"/>
          <w:between w:val="nil"/>
        </w:pBdr>
        <w:ind w:leftChars="-323" w:left="-708" w:right="-284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Валюта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</w:t>
      </w:r>
      <w:r w:rsidRPr="00DE121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UAH</w:t>
      </w:r>
    </w:p>
    <w:p w14:paraId="0000000B" w14:textId="77777777" w:rsidR="00B46B30" w:rsidRPr="00DE1216" w:rsidRDefault="00B46B30" w:rsidP="00DE1216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0C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Роз’яснення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інструментів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благодійності</w:t>
      </w:r>
      <w:proofErr w:type="spellEnd"/>
    </w:p>
    <w:p w14:paraId="0000000D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Види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діяльності</w:t>
      </w:r>
      <w:proofErr w:type="spellEnd"/>
    </w:p>
    <w:p w14:paraId="0000000E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індивідуально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ідставі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добровільного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вибору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кількох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000000F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передача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відступлення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прав;</w:t>
      </w:r>
    </w:p>
    <w:p w14:paraId="00000010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права;</w:t>
      </w:r>
    </w:p>
    <w:p w14:paraId="00000011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майна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прав;</w:t>
      </w:r>
    </w:p>
    <w:p w14:paraId="00000012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безоплатне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користь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3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4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публічний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5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6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заповітів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відказів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спадкових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0000017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аукціонів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негрошових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лотерей,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заході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заборонених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законом.</w:t>
      </w:r>
    </w:p>
    <w:p w14:paraId="00000018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Стаття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5. Закону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  <w:t xml:space="preserve">«Про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благодійну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діяльність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благодійні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</w:p>
    <w:p w14:paraId="00000019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Банківський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паперів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банк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небанківську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завдяки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дивідендів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нарахованих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суму такого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набувач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бенефіціар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витрачати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відчужувати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суму такого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ендавменту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благодійника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A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 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сукупність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виникають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переказу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обов'язковою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система не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агентом, тому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реквізитів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вводяться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виключно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банків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найкращою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гарантією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платіжних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інших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використовується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шифрований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 SSL.</w:t>
      </w:r>
    </w:p>
    <w:p w14:paraId="0000001B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1E" w14:textId="38C1C123" w:rsidR="00B46B30" w:rsidRDefault="00DB565F" w:rsidP="00D453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1F" w14:textId="77777777" w:rsidR="00B46B30" w:rsidRDefault="00DB565F" w:rsidP="00DB56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rPr>
          <w:rFonts w:ascii="Tahoma" w:eastAsia="Tahoma" w:hAnsi="Tahoma" w:cs="Tahoma"/>
          <w:color w:val="595858"/>
          <w:sz w:val="18"/>
          <w:szCs w:val="18"/>
        </w:rPr>
      </w:pPr>
      <w:r>
        <w:rPr>
          <w:rFonts w:ascii="Tahoma" w:eastAsia="Tahoma" w:hAnsi="Tahoma" w:cs="Tahoma"/>
          <w:color w:val="595858"/>
          <w:sz w:val="18"/>
          <w:szCs w:val="18"/>
        </w:rPr>
        <w:br/>
        <w:t> </w:t>
      </w:r>
    </w:p>
    <w:p w14:paraId="00000020" w14:textId="77777777" w:rsidR="00B46B30" w:rsidRDefault="00B46B30" w:rsidP="00B46B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B46B3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46B30"/>
    <w:rsid w:val="00B46B30"/>
    <w:rsid w:val="00D4538F"/>
    <w:rsid w:val="00DB565F"/>
    <w:rsid w:val="00DE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DzI1I+BT5mOmuoLQtHb2Dbzq3A==">AMUW2mW+ODBj9F6SBXgo3cDiZv5N352FmMQTAhZHXmwKexKTJEkgms7O44W7hBMGNGMDSGbddkQZ2Ozf/YpaBw0alfI1nyUTKxIvEwLJPnj0IT4w+uYegdY=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1620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9</dc:creator>
  <cp:lastModifiedBy>ДЕТСАД 9</cp:lastModifiedBy>
  <cp:revision>3</cp:revision>
  <dcterms:created xsi:type="dcterms:W3CDTF">2022-01-11T16:36:00Z</dcterms:created>
  <dcterms:modified xsi:type="dcterms:W3CDTF">2025-01-23T13:02:00Z</dcterms:modified>
</cp:coreProperties>
</file>